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303520</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17 - 26</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eastAsia"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4</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lang w:val="en-US" w:eastAsia="zh-CN"/>
        </w:rPr>
        <w:t>discontinuous coverage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In </w:t>
      </w:r>
      <w:r>
        <w:rPr>
          <w:rFonts w:hint="eastAsia" w:ascii="Arial" w:hAnsi="Arial" w:eastAsia="宋体" w:cs="Arial"/>
          <w:kern w:val="0"/>
          <w:sz w:val="20"/>
          <w:szCs w:val="20"/>
          <w:lang w:val="en-US" w:eastAsia="zh-CN"/>
        </w:rPr>
        <w:t xml:space="preserve">last meeting [1], RAN2 discussed the open issues on discontinuous coverage for IoT-NTN and has achieved the </w:t>
      </w:r>
      <w:r>
        <w:rPr>
          <w:rFonts w:ascii="Arial" w:hAnsi="Arial" w:eastAsia="宋体" w:cs="Arial"/>
          <w:kern w:val="0"/>
          <w:sz w:val="20"/>
          <w:szCs w:val="20"/>
          <w:lang w:val="en-GB" w:eastAsia="en-US"/>
        </w:rPr>
        <w:t>following</w:t>
      </w:r>
      <w:r>
        <w:rPr>
          <w:rFonts w:hint="eastAsia" w:ascii="Arial" w:hAnsi="Arial" w:eastAsia="宋体" w:cs="Arial"/>
          <w:kern w:val="0"/>
          <w:sz w:val="20"/>
          <w:szCs w:val="20"/>
          <w:lang w:val="en-US" w:eastAsia="zh-CN"/>
        </w:rPr>
        <w:t xml:space="preserve"> agreements</w:t>
      </w:r>
      <w:r>
        <w:rPr>
          <w:rFonts w:ascii="Arial" w:hAnsi="Arial" w:eastAsia="宋体" w:cs="Arial"/>
          <w:kern w:val="0"/>
          <w:sz w:val="20"/>
          <w:szCs w:val="20"/>
          <w:lang w:val="en-GB" w:eastAsia="en-US"/>
        </w:rP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pStyle w:val="18"/>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Lines="50"/>
              <w:ind w:left="901" w:hanging="363"/>
              <w:textAlignment w:val="auto"/>
              <w:rPr>
                <w:b/>
                <w:bCs/>
                <w:sz w:val="20"/>
                <w:szCs w:val="20"/>
              </w:rPr>
            </w:pPr>
            <w:r>
              <w:rPr>
                <w:b/>
                <w:bCs/>
                <w:sz w:val="20"/>
                <w:szCs w:val="20"/>
              </w:rPr>
              <w:t>RAN2 can continue to check whether dedicated RRC signalling can be used for providing satellite information corresponding to discontinuous coverage.</w:t>
            </w:r>
          </w:p>
          <w:p>
            <w:pPr>
              <w:pStyle w:val="18"/>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Lines="50"/>
              <w:ind w:left="901" w:hanging="363"/>
              <w:textAlignment w:val="auto"/>
              <w:rPr>
                <w:b/>
                <w:bCs/>
                <w:sz w:val="20"/>
                <w:szCs w:val="20"/>
              </w:rPr>
            </w:pPr>
            <w:r>
              <w:rPr>
                <w:b/>
                <w:bCs/>
                <w:sz w:val="20"/>
                <w:szCs w:val="20"/>
              </w:rPr>
              <w:t>RAN2 will support enhancements in paging and eDRX, in alignment with the work in SA2 and CT1. FFS on the details</w:t>
            </w:r>
          </w:p>
          <w:p>
            <w:pPr>
              <w:pStyle w:val="18"/>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Lines="50"/>
              <w:ind w:left="901" w:hanging="363"/>
              <w:textAlignment w:val="auto"/>
              <w:rPr>
                <w:b/>
                <w:bCs/>
                <w:sz w:val="20"/>
                <w:szCs w:val="20"/>
              </w:rPr>
            </w:pPr>
            <w:r>
              <w:rPr>
                <w:b/>
                <w:bCs/>
                <w:sz w:val="20"/>
                <w:szCs w:val="20"/>
              </w:rPr>
              <w:t xml:space="preserve">RAN2 may consider enhancements for connected UE upon detecting discontinuous coverage (e.g., suspend RLM, RLF detection, and RRC re-establishment process) </w:t>
            </w:r>
          </w:p>
          <w:p>
            <w:pPr>
              <w:pStyle w:val="18"/>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Lines="50"/>
              <w:ind w:left="901" w:hanging="363"/>
              <w:textAlignment w:val="auto"/>
              <w:rPr>
                <w:rFonts w:ascii="Times New Roman" w:hAnsi="Times New Roman" w:eastAsia="宋体" w:cs="Times New Roman"/>
                <w:kern w:val="0"/>
                <w:sz w:val="20"/>
                <w:szCs w:val="20"/>
                <w:lang w:val="en-GB" w:eastAsia="en-GB"/>
              </w:rPr>
            </w:pPr>
            <w:r>
              <w:rPr>
                <w:b/>
                <w:bCs/>
                <w:sz w:val="20"/>
                <w:szCs w:val="20"/>
              </w:rPr>
              <w:t>Companies supporting the store and forward approach can bring a proposal to the plenary for TEI18 or for updating the WID</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 xml:space="preserve">remain issues and </w:t>
      </w:r>
      <w:r>
        <w:rPr>
          <w:rFonts w:ascii="Arial" w:hAnsi="Arial" w:eastAsia="宋体" w:cs="Arial"/>
          <w:kern w:val="0"/>
          <w:sz w:val="20"/>
          <w:szCs w:val="20"/>
          <w:lang w:val="en-GB"/>
        </w:rPr>
        <w:t xml:space="preserve">potential </w:t>
      </w:r>
      <w:r>
        <w:rPr>
          <w:rFonts w:hint="eastAsia" w:ascii="Arial" w:hAnsi="Arial" w:eastAsia="宋体" w:cs="Arial"/>
          <w:kern w:val="0"/>
          <w:sz w:val="20"/>
          <w:szCs w:val="20"/>
          <w:lang w:val="en-US" w:eastAsia="zh-CN"/>
        </w:rPr>
        <w:t>enhancements on discontinuous coverage</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As specified in TS 36.331 [2], SIB32 broadcasts the satellite assistance information for discontinuous coverage, and up to 4 satellites are involved due to the limitation of SIB size. In TR 23.700-28 [3], SA2 pointed that the limitation to 4 satellites could limit coverage information to only a short period in the future (e.g. 2 hours). And SA2 expects that the number of satellites RAN broadcasts ephemeris data for will be increased from 4 in Rel-17 to 8 in Rel-18.</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pPr>
              <w:pStyle w:val="4"/>
              <w:rPr>
                <w:rFonts w:hint="default" w:ascii="Times New Roman" w:hAnsi="Times New Roman" w:cs="Times New Roman"/>
                <w:sz w:val="21"/>
                <w:szCs w:val="15"/>
              </w:rPr>
            </w:pPr>
            <w:bookmarkStart w:id="0" w:name="_Toc116639264"/>
            <w:bookmarkStart w:id="1" w:name="_Toc117591044"/>
            <w:r>
              <w:rPr>
                <w:rFonts w:hint="default" w:ascii="Times New Roman" w:hAnsi="Times New Roman" w:cs="Times New Roman"/>
                <w:sz w:val="21"/>
                <w:szCs w:val="15"/>
              </w:rPr>
              <w:t>7.4.1</w:t>
            </w:r>
            <w:r>
              <w:rPr>
                <w:rFonts w:hint="default" w:ascii="Times New Roman" w:hAnsi="Times New Roman" w:cs="Times New Roman"/>
                <w:sz w:val="21"/>
                <w:szCs w:val="15"/>
              </w:rPr>
              <w:tab/>
            </w:r>
            <w:r>
              <w:rPr>
                <w:rFonts w:hint="default" w:ascii="Times New Roman" w:hAnsi="Times New Roman" w:cs="Times New Roman"/>
                <w:sz w:val="21"/>
                <w:szCs w:val="15"/>
              </w:rPr>
              <w:t>To UE</w:t>
            </w:r>
            <w:bookmarkEnd w:id="0"/>
            <w:bookmarkEnd w:id="1"/>
          </w:p>
          <w:p>
            <w:pPr>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The solution in Release 17 relies on broadcast of satellite ephemeris data in a SIB defined in TS 36.331 [16]. The solution is limited to support of ephemeris data for up to 4 satellites. The solution in Release 17 contains the following limitations.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A UE would be expected to calculate whether and when each satellite will be visible from a UE location and assume that the satellite might be accessed if the satellite is visible (e.g. with an elevation above 10 degrees). This could be a significant processing burden to an IoT UE, at the opposite of KI#2 objective to save power</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There is no charging capability - this is a free service to all UEs.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There is no security - a fake base station could broadcast the SIB to spoof coverage or out of coverage at incorrect times.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Malgun Gothic" w:cs="Times New Roman"/>
                <w:sz w:val="20"/>
                <w:szCs w:val="21"/>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sz w:val="20"/>
                <w:szCs w:val="21"/>
              </w:rPr>
              <w:t>The SIB seems to be restricted to one satellite RAT only and may not support coverage from all satellite RATs.</w:t>
            </w:r>
          </w:p>
          <w:p>
            <w:pPr>
              <w:pStyle w:val="17"/>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cs="Times New Roman"/>
                <w:sz w:val="21"/>
                <w:szCs w:val="22"/>
              </w:rPr>
            </w:pPr>
            <w:r>
              <w:rPr>
                <w:rFonts w:hint="default" w:ascii="Times New Roman" w:hAnsi="Times New Roman" w:eastAsia="Malgun Gothic" w:cs="Times New Roman"/>
                <w:sz w:val="20"/>
                <w:szCs w:val="21"/>
              </w:rPr>
              <w:t>-</w:t>
            </w:r>
            <w:r>
              <w:rPr>
                <w:rFonts w:hint="default" w:ascii="Times New Roman" w:hAnsi="Times New Roman" w:eastAsia="Malgun Gothic" w:cs="Times New Roman"/>
                <w:sz w:val="20"/>
                <w:szCs w:val="21"/>
              </w:rPr>
              <w:tab/>
            </w:r>
            <w:r>
              <w:rPr>
                <w:rFonts w:hint="default" w:ascii="Times New Roman" w:hAnsi="Times New Roman" w:eastAsia="Malgun Gothic" w:cs="Times New Roman"/>
                <w:color w:val="C00000"/>
                <w:sz w:val="20"/>
                <w:szCs w:val="21"/>
              </w:rPr>
              <w:t>The limitation to 4 satellites could limit coverage information to only a short period in the future (e.g. 2 hours)</w:t>
            </w:r>
            <w:r>
              <w:rPr>
                <w:rFonts w:hint="default" w:ascii="Times New Roman" w:hAnsi="Times New Roman" w:eastAsia="Malgun Gothic" w:cs="Times New Roman"/>
                <w:sz w:val="20"/>
                <w:szCs w:val="21"/>
              </w:rPr>
              <w:t>.</w:t>
            </w:r>
          </w:p>
          <w:p>
            <w:pPr>
              <w:keepNext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cs="Times New Roman" w:eastAsiaTheme="minorEastAsia"/>
                <w:sz w:val="20"/>
                <w:szCs w:val="21"/>
                <w:lang w:eastAsia="zh-CN"/>
              </w:rPr>
            </w:pPr>
            <w:r>
              <w:rPr>
                <w:rFonts w:hint="default" w:ascii="Times New Roman" w:hAnsi="Times New Roman" w:cs="Times New Roman"/>
                <w:sz w:val="20"/>
                <w:szCs w:val="21"/>
                <w:highlight w:val="yellow"/>
              </w:rPr>
              <w:t>The number of satellites RAN broadcasts ephemeris data for will be increased from 4 in Rel-17 to 8 in Rel-18</w:t>
            </w:r>
            <w:r>
              <w:rPr>
                <w:rFonts w:hint="default" w:ascii="Times New Roman" w:hAnsi="Times New Roman" w:cs="Times New Roman"/>
                <w:sz w:val="20"/>
                <w:szCs w:val="21"/>
              </w:rPr>
              <w:t>.</w:t>
            </w:r>
          </w:p>
          <w:p>
            <w:pPr>
              <w:pStyle w:val="20"/>
              <w:keepNext w:val="0"/>
              <w:pageBreakBefore w:val="0"/>
              <w:widowControl w:val="0"/>
              <w:kinsoku/>
              <w:wordWrap/>
              <w:overflowPunct/>
              <w:topLinePunct w:val="0"/>
              <w:autoSpaceDE/>
              <w:autoSpaceDN/>
              <w:bidi w:val="0"/>
              <w:adjustRightInd/>
              <w:snapToGrid/>
              <w:spacing w:after="0" w:afterLines="50"/>
              <w:textAlignment w:val="auto"/>
              <w:rPr>
                <w:rFonts w:hint="default" w:ascii="Arial" w:hAnsi="Arial" w:eastAsia="宋体" w:cs="Arial"/>
                <w:kern w:val="0"/>
                <w:sz w:val="20"/>
                <w:szCs w:val="20"/>
                <w:vertAlign w:val="baseline"/>
                <w:lang w:val="en-US" w:eastAsia="zh-CN"/>
              </w:rPr>
            </w:pPr>
            <w:r>
              <w:rPr>
                <w:rFonts w:hint="default" w:ascii="Times New Roman" w:hAnsi="Times New Roman" w:cs="Times New Roman"/>
                <w:sz w:val="20"/>
                <w:szCs w:val="21"/>
                <w:lang w:val="en-US"/>
              </w:rPr>
              <w:t>NOTE:</w:t>
            </w:r>
            <w:r>
              <w:rPr>
                <w:rFonts w:hint="default" w:ascii="Times New Roman" w:hAnsi="Times New Roman" w:cs="Times New Roman"/>
                <w:sz w:val="20"/>
                <w:szCs w:val="21"/>
                <w:lang w:val="en-US"/>
              </w:rPr>
              <w:tab/>
            </w:r>
            <w:r>
              <w:rPr>
                <w:rFonts w:hint="default" w:ascii="Times New Roman" w:hAnsi="Times New Roman" w:cs="Times New Roman" w:eastAsiaTheme="minorEastAsia"/>
                <w:sz w:val="20"/>
                <w:szCs w:val="21"/>
                <w:lang w:val="en-US" w:eastAsia="zh-CN"/>
              </w:rPr>
              <w:t>W</w:t>
            </w:r>
            <w:r>
              <w:rPr>
                <w:rFonts w:hint="default" w:ascii="Times New Roman" w:hAnsi="Times New Roman" w:cs="Times New Roman"/>
                <w:sz w:val="20"/>
                <w:szCs w:val="21"/>
                <w:lang w:val="en-US"/>
              </w:rPr>
              <w:t>hether the size of SIB is enough to carry the ephemeris data</w:t>
            </w:r>
            <w:r>
              <w:rPr>
                <w:rFonts w:hint="default" w:ascii="Times New Roman" w:hAnsi="Times New Roman" w:cs="Times New Roman" w:eastAsiaTheme="minorEastAsia"/>
                <w:sz w:val="20"/>
                <w:szCs w:val="21"/>
                <w:lang w:val="en-US" w:eastAsia="zh-CN"/>
              </w:rPr>
              <w:t xml:space="preserve"> of</w:t>
            </w:r>
            <w:r>
              <w:rPr>
                <w:rFonts w:hint="default" w:ascii="Times New Roman" w:hAnsi="Times New Roman" w:cs="Times New Roman"/>
                <w:sz w:val="20"/>
                <w:szCs w:val="21"/>
                <w:lang w:val="en-US"/>
              </w:rPr>
              <w:t xml:space="preserve"> 8 satellites needs to</w:t>
            </w:r>
            <w:r>
              <w:rPr>
                <w:rFonts w:hint="default" w:ascii="Times New Roman" w:hAnsi="Times New Roman" w:cs="Times New Roman" w:eastAsiaTheme="minorEastAsia"/>
                <w:sz w:val="20"/>
                <w:szCs w:val="21"/>
                <w:lang w:val="en-US" w:eastAsia="zh-CN"/>
              </w:rPr>
              <w:t xml:space="preserve"> </w:t>
            </w:r>
            <w:r>
              <w:rPr>
                <w:rFonts w:hint="default" w:ascii="Times New Roman" w:hAnsi="Times New Roman" w:cs="Times New Roman"/>
                <w:sz w:val="20"/>
                <w:szCs w:val="21"/>
                <w:lang w:val="en-US"/>
              </w:rPr>
              <w:t>check with the RAN WG2.</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During Rel-17 discussion, some companies proposed to support more satellite assistance information, such as by dedicated signaling, SIB segmentation, multiple SIBs, etc. We think the potential solutions can be considered in Rel-18 to convey more satellite assistance information for better support of discontinuous coverage. </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comparison, the size of RRC signaling is larger than SIB and RRC signaling can convey more satellite assistance information. On the other hand, RRC signaling is UE specific and can include UE-specific neighbour cell/satellite information. However, the satellite assistance information may be common for many UEs in the same satellite. From the perspective of signaling efficiency, SIB message seems more efficient. </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RRC signaling can convey more satellite assistance information or UE-specific neighbour satellite information compared with SIB.</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Observation 2: The satellite assistance information may be common for many UEs, SIB message seems more efficient from the </w:t>
      </w:r>
      <w:bookmarkStart w:id="2" w:name="_GoBack"/>
      <w:bookmarkEnd w:id="2"/>
      <w:r>
        <w:rPr>
          <w:rFonts w:hint="eastAsia" w:ascii="Arial" w:hAnsi="Arial" w:eastAsia="宋体" w:cs="Arial"/>
          <w:b/>
          <w:bCs/>
          <w:kern w:val="0"/>
          <w:sz w:val="20"/>
          <w:szCs w:val="20"/>
          <w:lang w:val="en-US" w:eastAsia="zh-CN"/>
        </w:rPr>
        <w:t>perspective of signaling efficiency.</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Considering the limited SIB size, multiple SIBs or SIB segmentation can be further considered, and the following alternatives can also be discussed.</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等线" w:cs="Arial"/>
          <w:sz w:val="20"/>
          <w:szCs w:val="21"/>
          <w:lang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.1</w:t>
      </w:r>
      <w:r>
        <w:rPr>
          <w:rFonts w:hint="default" w:ascii="Arial" w:hAnsi="Arial" w:eastAsia="等线" w:cs="Arial"/>
          <w:sz w:val="20"/>
          <w:szCs w:val="21"/>
          <w:lang w:eastAsia="zh-CN"/>
        </w:rPr>
        <w:t>: Similar to ETWS/CMAS notification (i.e. SIB 6/7/8)</w:t>
      </w: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add 1-bit indication in Short Message to indicate whether there is satellite assistance information.</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等线" w:cs="Arial"/>
          <w:sz w:val="20"/>
          <w:szCs w:val="21"/>
          <w:lang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.2</w:t>
      </w:r>
      <w:r>
        <w:rPr>
          <w:rFonts w:hint="default" w:ascii="Arial" w:hAnsi="Arial" w:eastAsia="等线" w:cs="Arial"/>
          <w:sz w:val="20"/>
          <w:szCs w:val="21"/>
          <w:lang w:eastAsia="zh-CN"/>
        </w:rPr>
        <w:t>: The network may broadcast the association of multiple SIBs in SIB1, and the UE can acquire the corresponding SIB for satellite assistance information.</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等线" w:cs="Arial"/>
          <w:sz w:val="20"/>
          <w:szCs w:val="21"/>
          <w:lang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.3</w:t>
      </w:r>
      <w:r>
        <w:rPr>
          <w:rFonts w:hint="default" w:ascii="Arial" w:hAnsi="Arial" w:eastAsia="等线" w:cs="Arial"/>
          <w:sz w:val="20"/>
          <w:szCs w:val="21"/>
          <w:lang w:eastAsia="zh-CN"/>
        </w:rPr>
        <w:t>: Set a field in SIB</w:t>
      </w:r>
      <w:r>
        <w:rPr>
          <w:rFonts w:hint="eastAsia" w:ascii="Arial" w:hAnsi="Arial" w:eastAsia="等线" w:cs="Arial"/>
          <w:sz w:val="20"/>
          <w:szCs w:val="21"/>
          <w:lang w:val="en-US" w:eastAsia="zh-CN"/>
        </w:rPr>
        <w:t>32</w:t>
      </w:r>
      <w:r>
        <w:rPr>
          <w:rFonts w:hint="default" w:ascii="Arial" w:hAnsi="Arial" w:eastAsia="等线" w:cs="Arial"/>
          <w:sz w:val="20"/>
          <w:szCs w:val="21"/>
          <w:lang w:eastAsia="zh-CN"/>
        </w:rPr>
        <w:t xml:space="preserve"> to indicate whether there is other SIB including satellite assistance information.</w:t>
      </w:r>
    </w:p>
    <w:p>
      <w:pPr>
        <w:pStyle w:val="16"/>
        <w:keepNext w:val="0"/>
        <w:keepLines w:val="0"/>
        <w:pageBreakBefore w:val="0"/>
        <w:widowControl w:val="0"/>
        <w:numPr>
          <w:ilvl w:val="0"/>
          <w:numId w:val="0"/>
        </w:numPr>
        <w:kinsoku/>
        <w:wordWrap/>
        <w:overflowPunct/>
        <w:topLinePunct w:val="0"/>
        <w:autoSpaceDE/>
        <w:autoSpaceDN/>
        <w:bidi w:val="0"/>
        <w:adjustRightInd/>
        <w:snapToGrid/>
        <w:spacing w:after="0" w:afterLines="50"/>
        <w:ind w:leftChars="200"/>
        <w:contextualSpacing w:val="0"/>
        <w:textAlignment w:val="auto"/>
        <w:rPr>
          <w:rFonts w:hint="default" w:ascii="Arial" w:hAnsi="Arial" w:eastAsia="宋体" w:cs="Arial"/>
          <w:kern w:val="0"/>
          <w:sz w:val="20"/>
          <w:szCs w:val="20"/>
          <w:lang w:val="en-US" w:eastAsia="zh-CN"/>
        </w:rPr>
      </w:pPr>
      <w:r>
        <w:rPr>
          <w:rFonts w:hint="eastAsia" w:ascii="Arial" w:hAnsi="Arial" w:eastAsia="等线" w:cs="Arial"/>
          <w:sz w:val="20"/>
          <w:szCs w:val="21"/>
          <w:lang w:val="en-US" w:eastAsia="zh-CN"/>
        </w:rPr>
        <w:t xml:space="preserve">- </w:t>
      </w:r>
      <w:r>
        <w:rPr>
          <w:rFonts w:hint="default" w:ascii="Arial" w:hAnsi="Arial" w:eastAsia="等线" w:cs="Arial"/>
          <w:sz w:val="20"/>
          <w:szCs w:val="21"/>
          <w:lang w:eastAsia="zh-CN"/>
        </w:rPr>
        <w:t>Alt</w:t>
      </w:r>
      <w:r>
        <w:rPr>
          <w:rFonts w:hint="eastAsia" w:ascii="Arial" w:hAnsi="Arial" w:eastAsia="等线" w:cs="Arial"/>
          <w:sz w:val="20"/>
          <w:szCs w:val="21"/>
          <w:lang w:val="en-US" w:eastAsia="zh-CN"/>
        </w:rPr>
        <w:t>.4</w:t>
      </w:r>
      <w:r>
        <w:rPr>
          <w:rFonts w:hint="default" w:ascii="Arial" w:hAnsi="Arial" w:eastAsia="等线" w:cs="Arial"/>
          <w:sz w:val="20"/>
          <w:szCs w:val="21"/>
          <w:lang w:eastAsia="zh-CN"/>
        </w:rPr>
        <w:t>: Set a field in SIB</w:t>
      </w:r>
      <w:r>
        <w:rPr>
          <w:rFonts w:hint="eastAsia" w:ascii="Arial" w:hAnsi="Arial" w:eastAsia="等线" w:cs="Arial"/>
          <w:sz w:val="20"/>
          <w:szCs w:val="21"/>
          <w:lang w:val="en-US" w:eastAsia="zh-CN"/>
        </w:rPr>
        <w:t>32</w:t>
      </w:r>
      <w:r>
        <w:rPr>
          <w:rFonts w:hint="default" w:ascii="Arial" w:hAnsi="Arial" w:eastAsia="等线" w:cs="Arial"/>
          <w:sz w:val="20"/>
          <w:szCs w:val="21"/>
          <w:lang w:eastAsia="zh-CN"/>
        </w:rPr>
        <w:t xml:space="preserve"> to indicate whether there is other SIB including supplemental satellite assistance information in the same SIB from another neighbour network.</w:t>
      </w:r>
    </w:p>
    <w:p>
      <w:pPr>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discuss to transfer more satellite assistance information via dedicated signaling, SIB segmentation or multiple SIBs.</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 </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Discussion</w:t>
      </w:r>
      <w:r>
        <w:rPr>
          <w:rFonts w:ascii="Arial" w:hAnsi="Arial" w:eastAsia="宋体" w:cs="Arial"/>
          <w:kern w:val="0"/>
          <w:sz w:val="32"/>
          <w:szCs w:val="20"/>
          <w:lang w:val="en-GB" w:eastAsia="en-US"/>
        </w:rPr>
        <w:t xml:space="preserve"> on </w:t>
      </w:r>
      <w:r>
        <w:rPr>
          <w:rFonts w:hint="eastAsia" w:ascii="Arial" w:hAnsi="Arial" w:eastAsia="宋体" w:cs="Arial"/>
          <w:kern w:val="0"/>
          <w:sz w:val="32"/>
          <w:szCs w:val="20"/>
          <w:lang w:val="en-US" w:eastAsia="zh-CN"/>
        </w:rPr>
        <w:t xml:space="preserve">enhancement for connected mode </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According to conclusion of TR 23.700-28, SA2 supports PSM/MICO/eDRX in R18 IoT-NTN. Both network centric and UE centric procedures are used to determine and coordinate the UE unreachability period and power saving parameters via NAS signaling, while RAN node cannot be aware of the UE unreachability period. When the satellite stops serving the current area, the UE would suddenly lose the coverage and connection. If the network is not aware of UE</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discontinuous coverage and still schedule the UE, it may lead to the waste of energy and resources. We think it</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s beneficial to inform the out-of-coverage period to RAN node, e.g, for optimization on RRC release or paging procedure. Although the UE unreachability information can be provided from CN to RAN node, we think the UE can also provide this information to RAN from RAN2 perspective. </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UE can provide the out-of-coverage information to RAN node, e.g, for optimization on RRC release or paging.</w:t>
      </w:r>
    </w:p>
    <w:p>
      <w:pPr>
        <w:spacing w:after="160" w:line="259" w:lineRule="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legacy procedure, the UE context should be removed by RAN node after the UE is released to idle mode. However, in discontinuous coverage scenario, we think it</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beneficial for RAN node to keep the UE out-of-coverage information even if the UE enters into idle mode, e.g. for future paging procedure. For example, if the RAN node receives the paging from CN or other RAN node for the UE which is out of coverage, the RAN node can reject the paging or indicate the UE is out of coverage. By this way, the signaling overhead for paging can be decreased.</w:t>
      </w:r>
    </w:p>
    <w:p>
      <w:pPr>
        <w:spacing w:after="160" w:line="259" w:lineRule="auto"/>
        <w:jc w:val="center"/>
      </w:pPr>
      <w:r>
        <w:drawing>
          <wp:inline distT="0" distB="0" distL="114300" distR="114300">
            <wp:extent cx="3375025" cy="2166620"/>
            <wp:effectExtent l="0" t="0" r="635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375025" cy="2166620"/>
                    </a:xfrm>
                    <a:prstGeom prst="rect">
                      <a:avLst/>
                    </a:prstGeom>
                    <a:noFill/>
                    <a:ln>
                      <a:noFill/>
                    </a:ln>
                  </pic:spPr>
                </pic:pic>
              </a:graphicData>
            </a:graphic>
          </wp:inline>
        </w:drawing>
      </w:r>
    </w:p>
    <w:p>
      <w:pPr>
        <w:spacing w:after="160" w:line="259" w:lineRule="auto"/>
        <w:jc w:val="center"/>
        <w:rPr>
          <w:rFonts w:hint="default" w:ascii="Arial" w:hAnsi="Arial" w:cs="Arial" w:eastAsiaTheme="minorEastAsia"/>
          <w:sz w:val="18"/>
          <w:szCs w:val="20"/>
          <w:lang w:val="en-US" w:eastAsia="zh-CN"/>
        </w:rPr>
      </w:pPr>
      <w:r>
        <w:rPr>
          <w:rFonts w:hint="default" w:ascii="Arial" w:hAnsi="Arial" w:cs="Arial"/>
          <w:sz w:val="18"/>
          <w:szCs w:val="20"/>
          <w:lang w:val="en-US" w:eastAsia="zh-CN"/>
        </w:rPr>
        <w:t>Figure 1</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UE out-of-coverage information can be kept by RAN node even if the UE enters into idle mode.</w:t>
      </w:r>
    </w:p>
    <w:p>
      <w:pPr>
        <w:spacing w:after="160" w:line="259" w:lineRule="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RAN3#118 meeting, a new cause value </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Release due to discontinuous coverage</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 is introduced for the UE Context Release Request procedure between eNB and MME, so eNB can be aware of the actual reason for this release is due to discontinuous coverage. From RAN2 perspective, if there is no specific cause value for discontinuous coverage in Uu interface, the UE may not know this release is due to discontinuous coverage, and the UE can continue to perform the legacy idle AS functions, e.g. measurement in idle mode or paging monitoring. Therefore, a same cause value </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Release due to discontinuous coverage</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 can be introduced in RRCRelease message.</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A new cause value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Release due to discontinuous coverage</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is introduced in RRCRelease message.</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GB" w:eastAsia="en-US"/>
        </w:rPr>
        <w:t>discontinuous coverage for IoT-NTN</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RRC signaling can convey more satellite assistance information or UE-specific neighbour satellite information compared with SIB.</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The satellite assistance information may be common for many UEs, SIB message seems more efficient from the perspective of signaling efficiency.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discuss to transfer more satellite assistance information via dedicated signaling, SIB segmentation or multiple SIBs.</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UE can provide the out-of-coverage information to RAN node for e.g, optimization on RRC release or paging.</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UE out-of-coverage information can be kept by RAN node when the UE enters into idle mode.</w:t>
      </w:r>
    </w:p>
    <w:p>
      <w:pPr>
        <w:spacing w:after="160" w:line="259" w:lineRule="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A new cause value </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Release due to discontinuous coverage</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 xml:space="preserve"> is introduced in RRCRelease message.</w:t>
      </w:r>
    </w:p>
    <w:p>
      <w:pPr>
        <w:widowControl/>
        <w:spacing w:after="180"/>
        <w:rPr>
          <w:rFonts w:hint="default"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#121, Athens, Greece</w:t>
      </w:r>
    </w:p>
    <w:p>
      <w:pPr>
        <w:widowControl/>
        <w:numPr>
          <w:ilvl w:val="0"/>
          <w:numId w:val="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US" w:eastAsia="zh-CN"/>
        </w:rPr>
        <w:t>TS 36.331, Evolved Universal Terrestrial Radio Access (E-UTRA); Radio Resource Control (RRC); Protocol specification</w:t>
      </w:r>
    </w:p>
    <w:p>
      <w:pPr>
        <w:widowControl/>
        <w:numPr>
          <w:ilvl w:val="0"/>
          <w:numId w:val="4"/>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zh-CN"/>
        </w:rPr>
      </w:pPr>
      <w:r>
        <w:rPr>
          <w:rFonts w:hint="eastAsia" w:ascii="Arial" w:hAnsi="Arial" w:eastAsia="宋体" w:cs="Arial"/>
          <w:kern w:val="0"/>
          <w:sz w:val="20"/>
          <w:szCs w:val="20"/>
          <w:lang w:val="en-GB" w:eastAsia="zh-CN"/>
        </w:rPr>
        <w:t xml:space="preserve">3GPP </w:t>
      </w:r>
      <w:r>
        <w:rPr>
          <w:rFonts w:hint="eastAsia" w:ascii="Arial" w:hAnsi="Arial" w:eastAsia="宋体" w:cs="Arial"/>
          <w:kern w:val="0"/>
          <w:sz w:val="20"/>
          <w:szCs w:val="20"/>
          <w:lang w:val="en-US" w:eastAsia="zh-CN"/>
        </w:rPr>
        <w:t>TR 23.700-28</w:t>
      </w:r>
      <w:r>
        <w:rPr>
          <w:rFonts w:hint="eastAsia" w:ascii="Arial" w:hAnsi="Arial" w:eastAsia="宋体" w:cs="Arial"/>
          <w:kern w:val="0"/>
          <w:sz w:val="20"/>
          <w:szCs w:val="20"/>
          <w:lang w:val="en-GB" w:eastAsia="zh-CN"/>
        </w:rPr>
        <w:t>, Study on Integration of satellite components</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zh-CN"/>
        </w:rPr>
        <w:t>in the 5G architecture;</w:t>
      </w:r>
      <w:r>
        <w:rPr>
          <w:rFonts w:hint="eastAsia" w:ascii="Arial" w:hAnsi="Arial" w:eastAsia="宋体" w:cs="Arial"/>
          <w:kern w:val="0"/>
          <w:sz w:val="20"/>
          <w:szCs w:val="20"/>
          <w:lang w:val="en-US" w:eastAsia="zh-CN"/>
        </w:rPr>
        <w:t xml:space="preserve"> Phase 2</w:t>
      </w:r>
      <w:r>
        <w:rPr>
          <w:rFonts w:hint="eastAsia" w:ascii="Arial" w:hAnsi="Arial" w:eastAsia="宋体" w:cs="Arial"/>
          <w:kern w:val="0"/>
          <w:sz w:val="20"/>
          <w:szCs w:val="20"/>
          <w:lang w:val="en-GB" w:eastAsia="zh-CN"/>
        </w:rPr>
        <w:t xml:space="preserve"> (Release 18)</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AA46647"/>
    <w:multiLevelType w:val="multilevel"/>
    <w:tmpl w:val="3AA46647"/>
    <w:lvl w:ilvl="0" w:tentative="0">
      <w:start w:val="1"/>
      <w:numFmt w:val="decimal"/>
      <w:pStyle w:val="19"/>
      <w:lvlText w:val="Proposal %1"/>
      <w:lvlJc w:val="left"/>
      <w:pPr>
        <w:tabs>
          <w:tab w:val="left" w:pos="2155"/>
        </w:tabs>
        <w:ind w:left="2155" w:hanging="1304"/>
      </w:pPr>
      <w:rPr>
        <w:rFonts w:hint="default"/>
      </w:rPr>
    </w:lvl>
    <w:lvl w:ilvl="1" w:tentative="0">
      <w:start w:val="1"/>
      <w:numFmt w:val="lowerLetter"/>
      <w:lvlText w:val="%2."/>
      <w:lvlJc w:val="left"/>
      <w:pPr>
        <w:tabs>
          <w:tab w:val="left" w:pos="2291"/>
        </w:tabs>
        <w:ind w:left="2291" w:hanging="360"/>
      </w:pPr>
      <w:rPr>
        <w:rFonts w:hint="eastAsia"/>
      </w:rPr>
    </w:lvl>
    <w:lvl w:ilvl="2" w:tentative="0">
      <w:start w:val="1"/>
      <w:numFmt w:val="lowerRoman"/>
      <w:lvlText w:val="%3."/>
      <w:lvlJc w:val="right"/>
      <w:pPr>
        <w:tabs>
          <w:tab w:val="left" w:pos="3011"/>
        </w:tabs>
        <w:ind w:left="3011" w:hanging="180"/>
      </w:pPr>
      <w:rPr>
        <w:rFonts w:hint="eastAsia"/>
      </w:rPr>
    </w:lvl>
    <w:lvl w:ilvl="3" w:tentative="0">
      <w:start w:val="1"/>
      <w:numFmt w:val="decimal"/>
      <w:lvlText w:val="%4."/>
      <w:lvlJc w:val="left"/>
      <w:pPr>
        <w:tabs>
          <w:tab w:val="left" w:pos="3731"/>
        </w:tabs>
        <w:ind w:left="3731" w:hanging="360"/>
      </w:pPr>
      <w:rPr>
        <w:rFonts w:hint="eastAsia"/>
      </w:rPr>
    </w:lvl>
    <w:lvl w:ilvl="4" w:tentative="0">
      <w:start w:val="1"/>
      <w:numFmt w:val="lowerLetter"/>
      <w:lvlText w:val="%5."/>
      <w:lvlJc w:val="left"/>
      <w:pPr>
        <w:tabs>
          <w:tab w:val="left" w:pos="4451"/>
        </w:tabs>
        <w:ind w:left="4451" w:hanging="360"/>
      </w:pPr>
      <w:rPr>
        <w:rFonts w:hint="eastAsia"/>
      </w:rPr>
    </w:lvl>
    <w:lvl w:ilvl="5" w:tentative="0">
      <w:start w:val="1"/>
      <w:numFmt w:val="lowerRoman"/>
      <w:lvlText w:val="%6."/>
      <w:lvlJc w:val="right"/>
      <w:pPr>
        <w:tabs>
          <w:tab w:val="left" w:pos="5171"/>
        </w:tabs>
        <w:ind w:left="5171" w:hanging="180"/>
      </w:pPr>
      <w:rPr>
        <w:rFonts w:hint="eastAsia"/>
      </w:rPr>
    </w:lvl>
    <w:lvl w:ilvl="6" w:tentative="0">
      <w:start w:val="1"/>
      <w:numFmt w:val="decimal"/>
      <w:lvlText w:val="%7."/>
      <w:lvlJc w:val="left"/>
      <w:pPr>
        <w:tabs>
          <w:tab w:val="left" w:pos="5891"/>
        </w:tabs>
        <w:ind w:left="5891" w:hanging="360"/>
      </w:pPr>
      <w:rPr>
        <w:rFonts w:hint="eastAsia"/>
      </w:rPr>
    </w:lvl>
    <w:lvl w:ilvl="7" w:tentative="0">
      <w:start w:val="1"/>
      <w:numFmt w:val="lowerLetter"/>
      <w:lvlText w:val="%8."/>
      <w:lvlJc w:val="left"/>
      <w:pPr>
        <w:tabs>
          <w:tab w:val="left" w:pos="6611"/>
        </w:tabs>
        <w:ind w:left="6611" w:hanging="360"/>
      </w:pPr>
      <w:rPr>
        <w:rFonts w:hint="eastAsia"/>
      </w:rPr>
    </w:lvl>
    <w:lvl w:ilvl="8" w:tentative="0">
      <w:start w:val="1"/>
      <w:numFmt w:val="lowerRoman"/>
      <w:lvlText w:val="%9."/>
      <w:lvlJc w:val="right"/>
      <w:pPr>
        <w:tabs>
          <w:tab w:val="left" w:pos="7331"/>
        </w:tabs>
        <w:ind w:left="7331" w:hanging="180"/>
      </w:pPr>
      <w:rPr>
        <w:rFonts w:hint="eastAsia"/>
      </w:rPr>
    </w:lvl>
  </w:abstractNum>
  <w:abstractNum w:abstractNumId="3">
    <w:nsid w:val="51475EBE"/>
    <w:multiLevelType w:val="multilevel"/>
    <w:tmpl w:val="51475EBE"/>
    <w:lvl w:ilvl="0" w:tentative="0">
      <w:start w:val="7"/>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93317"/>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3BCD"/>
    <w:rsid w:val="00ED765C"/>
    <w:rsid w:val="00EF5EE1"/>
    <w:rsid w:val="00F02DFE"/>
    <w:rsid w:val="00F05AB0"/>
    <w:rsid w:val="00F0760F"/>
    <w:rsid w:val="00F33D13"/>
    <w:rsid w:val="00F47D8B"/>
    <w:rsid w:val="00F627D0"/>
    <w:rsid w:val="00F841B6"/>
    <w:rsid w:val="00F92EA1"/>
    <w:rsid w:val="01041DE1"/>
    <w:rsid w:val="015B2BC4"/>
    <w:rsid w:val="022E1921"/>
    <w:rsid w:val="04CD755E"/>
    <w:rsid w:val="05146BBE"/>
    <w:rsid w:val="06755314"/>
    <w:rsid w:val="08A952BF"/>
    <w:rsid w:val="08F61291"/>
    <w:rsid w:val="0A9E7CF1"/>
    <w:rsid w:val="0BF05825"/>
    <w:rsid w:val="0DFE100D"/>
    <w:rsid w:val="0FBA4F87"/>
    <w:rsid w:val="1121214E"/>
    <w:rsid w:val="11E05876"/>
    <w:rsid w:val="12D940DF"/>
    <w:rsid w:val="14127B6E"/>
    <w:rsid w:val="17B3444C"/>
    <w:rsid w:val="17C85C11"/>
    <w:rsid w:val="17CD5A7B"/>
    <w:rsid w:val="184F4570"/>
    <w:rsid w:val="19837112"/>
    <w:rsid w:val="1C24781E"/>
    <w:rsid w:val="1C293FB3"/>
    <w:rsid w:val="1D036B90"/>
    <w:rsid w:val="1E0D155D"/>
    <w:rsid w:val="1E641089"/>
    <w:rsid w:val="1ECA78AF"/>
    <w:rsid w:val="1EDD63B3"/>
    <w:rsid w:val="1F953A14"/>
    <w:rsid w:val="207C48B2"/>
    <w:rsid w:val="20841BE6"/>
    <w:rsid w:val="20F63843"/>
    <w:rsid w:val="22391A6D"/>
    <w:rsid w:val="22952BA9"/>
    <w:rsid w:val="22AA5187"/>
    <w:rsid w:val="259D5AA6"/>
    <w:rsid w:val="274D43AA"/>
    <w:rsid w:val="27EC2EBC"/>
    <w:rsid w:val="290D5B03"/>
    <w:rsid w:val="2BEB0073"/>
    <w:rsid w:val="2C8F4403"/>
    <w:rsid w:val="2D7945E7"/>
    <w:rsid w:val="2F455A6A"/>
    <w:rsid w:val="319B7829"/>
    <w:rsid w:val="32503EB2"/>
    <w:rsid w:val="32DA366A"/>
    <w:rsid w:val="33295A41"/>
    <w:rsid w:val="36FC5244"/>
    <w:rsid w:val="3929057B"/>
    <w:rsid w:val="39872104"/>
    <w:rsid w:val="3AC9371B"/>
    <w:rsid w:val="3CA76849"/>
    <w:rsid w:val="3CDD7E68"/>
    <w:rsid w:val="3E1D724F"/>
    <w:rsid w:val="3F452672"/>
    <w:rsid w:val="3FAF36DB"/>
    <w:rsid w:val="3FFC6526"/>
    <w:rsid w:val="40380A31"/>
    <w:rsid w:val="42112CF3"/>
    <w:rsid w:val="43826BE8"/>
    <w:rsid w:val="43EC07F9"/>
    <w:rsid w:val="4537365B"/>
    <w:rsid w:val="468939F8"/>
    <w:rsid w:val="47504E90"/>
    <w:rsid w:val="48A343FD"/>
    <w:rsid w:val="4A8B763F"/>
    <w:rsid w:val="4C3B4C27"/>
    <w:rsid w:val="4D1B1BA0"/>
    <w:rsid w:val="4DD522A0"/>
    <w:rsid w:val="4FC84061"/>
    <w:rsid w:val="500B675C"/>
    <w:rsid w:val="509C604E"/>
    <w:rsid w:val="53D170F4"/>
    <w:rsid w:val="54230502"/>
    <w:rsid w:val="55AE202A"/>
    <w:rsid w:val="566E6F5B"/>
    <w:rsid w:val="573F04D3"/>
    <w:rsid w:val="59DF5D3D"/>
    <w:rsid w:val="5A8E3042"/>
    <w:rsid w:val="5D584F52"/>
    <w:rsid w:val="5EB800DC"/>
    <w:rsid w:val="5F273BAD"/>
    <w:rsid w:val="5F600D4E"/>
    <w:rsid w:val="63514E14"/>
    <w:rsid w:val="64036942"/>
    <w:rsid w:val="64612304"/>
    <w:rsid w:val="655F57E6"/>
    <w:rsid w:val="657C7836"/>
    <w:rsid w:val="6ACF7CA5"/>
    <w:rsid w:val="6ADC76C0"/>
    <w:rsid w:val="6BE35659"/>
    <w:rsid w:val="6CEC479F"/>
    <w:rsid w:val="6DFF6FF4"/>
    <w:rsid w:val="70A01FD4"/>
    <w:rsid w:val="71AE0AD6"/>
    <w:rsid w:val="72BF0DCD"/>
    <w:rsid w:val="732872C5"/>
    <w:rsid w:val="73C4646F"/>
    <w:rsid w:val="75855356"/>
    <w:rsid w:val="758933B2"/>
    <w:rsid w:val="760F3C08"/>
    <w:rsid w:val="76E319B4"/>
    <w:rsid w:val="7DB345EB"/>
    <w:rsid w:val="7FEB6FF3"/>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jc w:val="both"/>
    </w:pPr>
    <w:rPr>
      <w:rFonts w:ascii="Arial" w:hAnsi="Arial"/>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table" w:styleId="10">
    <w:name w:val="Table Grid"/>
    <w:basedOn w:val="9"/>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sz w:val="18"/>
      <w:szCs w:val="18"/>
    </w:rPr>
  </w:style>
  <w:style w:type="character" w:customStyle="1" w:styleId="13">
    <w:name w:val="页脚 字符"/>
    <w:basedOn w:val="11"/>
    <w:link w:val="6"/>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8"/>
    <w:qFormat/>
    <w:uiPriority w:val="0"/>
  </w:style>
  <w:style w:type="paragraph" w:customStyle="1" w:styleId="18">
    <w:name w:val="Doc-text2"/>
    <w:basedOn w:val="1"/>
    <w:qFormat/>
    <w:uiPriority w:val="0"/>
    <w:pPr>
      <w:tabs>
        <w:tab w:val="left" w:pos="1622"/>
      </w:tabs>
      <w:autoSpaceDE/>
      <w:autoSpaceDN/>
      <w:adjustRightInd/>
      <w:ind w:left="1622" w:hanging="363"/>
      <w:jc w:val="left"/>
      <w:textAlignment w:val="auto"/>
    </w:pPr>
    <w:rPr>
      <w:rFonts w:ascii="Arial" w:hAnsi="Arial" w:eastAsia="MS Mincho"/>
      <w:sz w:val="20"/>
      <w:lang w:val="en-GB" w:eastAsia="en-GB"/>
    </w:rPr>
  </w:style>
  <w:style w:type="paragraph" w:customStyle="1" w:styleId="19">
    <w:name w:val="Proposal"/>
    <w:basedOn w:val="5"/>
    <w:qFormat/>
    <w:uiPriority w:val="0"/>
    <w:pPr>
      <w:numPr>
        <w:ilvl w:val="0"/>
        <w:numId w:val="1"/>
      </w:numPr>
      <w:tabs>
        <w:tab w:val="left" w:pos="1304"/>
        <w:tab w:val="left" w:pos="1701"/>
      </w:tabs>
      <w:spacing w:line="260" w:lineRule="auto"/>
    </w:pPr>
    <w:rPr>
      <w:rFonts w:ascii="Times New Roman" w:hAnsi="Times New Roman"/>
      <w:b/>
      <w:bCs/>
    </w:rPr>
  </w:style>
  <w:style w:type="paragraph" w:customStyle="1" w:styleId="2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4</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2023-04-07T08:39:40Z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85E7628DF4A0490ABB5062ED5E04D660</vt:lpwstr>
  </property>
</Properties>
</file>